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7400" w14:textId="6AF33E1F" w:rsidR="007C7F3F" w:rsidRPr="00C918F8" w:rsidRDefault="007C7F3F" w:rsidP="007C7F3F">
      <w:pPr>
        <w:pStyle w:val="font8"/>
        <w:spacing w:before="0" w:beforeAutospacing="0" w:after="0" w:afterAutospacing="0"/>
        <w:textAlignment w:val="baseline"/>
        <w:rPr>
          <w:rStyle w:val="wixui-rich-texttext"/>
          <w:bdr w:val="none" w:sz="0" w:space="0" w:color="auto" w:frame="1"/>
        </w:rPr>
      </w:pPr>
      <w:bookmarkStart w:id="0" w:name="_Hlk132792259"/>
      <w:r w:rsidRPr="00C918F8">
        <w:rPr>
          <w:rStyle w:val="wixui-rich-texttext"/>
          <w:bdr w:val="none" w:sz="0" w:space="0" w:color="auto" w:frame="1"/>
        </w:rPr>
        <w:t>SIA”OPTIMERA LATVIA”</w:t>
      </w:r>
    </w:p>
    <w:p w14:paraId="10A31E81" w14:textId="509C4B00" w:rsidR="007C7F3F" w:rsidRPr="00C918F8" w:rsidRDefault="007C7F3F" w:rsidP="007C7F3F">
      <w:pPr>
        <w:pStyle w:val="font8"/>
        <w:spacing w:before="0" w:beforeAutospacing="0" w:after="0" w:afterAutospacing="0"/>
        <w:textAlignment w:val="baseline"/>
        <w:rPr>
          <w:rStyle w:val="wixui-rich-texttext"/>
          <w:bdr w:val="none" w:sz="0" w:space="0" w:color="auto" w:frame="1"/>
        </w:rPr>
      </w:pPr>
      <w:r w:rsidRPr="00C918F8">
        <w:rPr>
          <w:rStyle w:val="wixui-rich-texttext"/>
          <w:bdr w:val="none" w:sz="0" w:space="0" w:color="auto" w:frame="1"/>
        </w:rPr>
        <w:t>Ata iela 5A, Rīga, LV-1009</w:t>
      </w:r>
    </w:p>
    <w:p w14:paraId="16F611E0" w14:textId="0187D5A9" w:rsidR="007C7F3F" w:rsidRPr="00C918F8" w:rsidRDefault="007C7F3F" w:rsidP="007C7F3F">
      <w:pPr>
        <w:pStyle w:val="font8"/>
        <w:spacing w:before="0" w:beforeAutospacing="0" w:after="0" w:afterAutospacing="0"/>
        <w:textAlignment w:val="baseline"/>
        <w:rPr>
          <w:rStyle w:val="wixui-rich-texttext"/>
          <w:bdr w:val="none" w:sz="0" w:space="0" w:color="auto" w:frame="1"/>
        </w:rPr>
      </w:pPr>
      <w:r w:rsidRPr="00C918F8">
        <w:rPr>
          <w:rStyle w:val="wixui-rich-texttext"/>
          <w:bdr w:val="none" w:sz="0" w:space="0" w:color="auto" w:frame="1"/>
        </w:rPr>
        <w:t>Reģ.nr. 40003140449</w:t>
      </w:r>
    </w:p>
    <w:p w14:paraId="3F8B733D" w14:textId="77777777" w:rsidR="007C7F3F" w:rsidRPr="00C918F8" w:rsidRDefault="007C7F3F" w:rsidP="007C7F3F">
      <w:pPr>
        <w:pStyle w:val="font8"/>
        <w:spacing w:before="0" w:beforeAutospacing="0" w:after="0" w:afterAutospacing="0"/>
        <w:jc w:val="center"/>
        <w:textAlignment w:val="baseline"/>
        <w:rPr>
          <w:rStyle w:val="wixui-rich-texttext"/>
          <w:b/>
          <w:bCs/>
          <w:bdr w:val="none" w:sz="0" w:space="0" w:color="auto" w:frame="1"/>
        </w:rPr>
      </w:pPr>
    </w:p>
    <w:p w14:paraId="2FD85FB5" w14:textId="25FEEB09" w:rsidR="007C7F3F" w:rsidRPr="00C918F8" w:rsidRDefault="007C7F3F" w:rsidP="007C7F3F">
      <w:pPr>
        <w:pStyle w:val="font8"/>
        <w:spacing w:before="0" w:beforeAutospacing="0" w:after="0" w:afterAutospacing="0"/>
        <w:jc w:val="center"/>
        <w:textAlignment w:val="baseline"/>
        <w:rPr>
          <w:rStyle w:val="wixui-rich-texttext"/>
          <w:b/>
          <w:bCs/>
          <w:bdr w:val="none" w:sz="0" w:space="0" w:color="auto" w:frame="1"/>
        </w:rPr>
      </w:pPr>
      <w:r w:rsidRPr="00C918F8">
        <w:rPr>
          <w:rStyle w:val="wixui-rich-texttext"/>
          <w:b/>
          <w:bCs/>
          <w:bdr w:val="none" w:sz="0" w:space="0" w:color="auto" w:frame="1"/>
        </w:rPr>
        <w:t xml:space="preserve">Būvniecības ABC </w:t>
      </w:r>
    </w:p>
    <w:p w14:paraId="6C54826D" w14:textId="0E9117F4" w:rsidR="007C7F3F" w:rsidRPr="00C918F8" w:rsidRDefault="007C7F3F" w:rsidP="007C7F3F">
      <w:pPr>
        <w:pStyle w:val="font8"/>
        <w:spacing w:before="0" w:beforeAutospacing="0" w:after="0" w:afterAutospacing="0"/>
        <w:jc w:val="center"/>
        <w:textAlignment w:val="baseline"/>
      </w:pPr>
      <w:r w:rsidRPr="00C918F8">
        <w:rPr>
          <w:rStyle w:val="wixui-rich-texttext"/>
          <w:b/>
          <w:bCs/>
          <w:bdr w:val="none" w:sz="0" w:space="0" w:color="auto" w:frame="1"/>
        </w:rPr>
        <w:t>DĀVANU KARTES</w:t>
      </w:r>
      <w:r w:rsidR="00285D25">
        <w:rPr>
          <w:rStyle w:val="wixui-rich-texttext"/>
          <w:b/>
          <w:bCs/>
          <w:bdr w:val="none" w:sz="0" w:space="0" w:color="auto" w:frame="1"/>
        </w:rPr>
        <w:t xml:space="preserve"> </w:t>
      </w:r>
      <w:r w:rsidRPr="00C918F8">
        <w:rPr>
          <w:rStyle w:val="wixui-rich-texttext"/>
          <w:b/>
          <w:bCs/>
          <w:bdr w:val="none" w:sz="0" w:space="0" w:color="auto" w:frame="1"/>
        </w:rPr>
        <w:t>NOTEIKUMI</w:t>
      </w:r>
    </w:p>
    <w:p w14:paraId="011C8517" w14:textId="77777777" w:rsidR="007C7F3F" w:rsidRPr="00C918F8" w:rsidRDefault="007C7F3F" w:rsidP="007C7F3F">
      <w:pPr>
        <w:pStyle w:val="font8"/>
        <w:spacing w:before="0" w:beforeAutospacing="0" w:after="0" w:afterAutospacing="0"/>
        <w:textAlignment w:val="baseline"/>
      </w:pPr>
      <w:r w:rsidRPr="00C918F8">
        <w:t> </w:t>
      </w:r>
    </w:p>
    <w:p w14:paraId="3E2A6FA3" w14:textId="77777777" w:rsidR="007C7F3F" w:rsidRPr="00C918F8" w:rsidRDefault="007C7F3F" w:rsidP="007C7F3F">
      <w:pPr>
        <w:pStyle w:val="font8"/>
        <w:spacing w:before="0" w:beforeAutospacing="0" w:after="0" w:afterAutospacing="0"/>
        <w:textAlignment w:val="baseline"/>
      </w:pPr>
      <w:r w:rsidRPr="00C918F8">
        <w:rPr>
          <w:rStyle w:val="wixguard"/>
          <w:bdr w:val="none" w:sz="0" w:space="0" w:color="auto" w:frame="1"/>
        </w:rPr>
        <w:t>​</w:t>
      </w:r>
    </w:p>
    <w:p w14:paraId="1E374F2A" w14:textId="3D72F1B9" w:rsidR="00092E77" w:rsidRPr="00092E77" w:rsidRDefault="00092E77" w:rsidP="00092E77">
      <w:pPr>
        <w:pStyle w:val="ListParagraph"/>
        <w:numPr>
          <w:ilvl w:val="0"/>
          <w:numId w:val="5"/>
        </w:numPr>
        <w:rPr>
          <w:sz w:val="24"/>
          <w:szCs w:val="24"/>
        </w:rPr>
      </w:pPr>
      <w:r w:rsidRPr="00092E77">
        <w:rPr>
          <w:sz w:val="24"/>
          <w:szCs w:val="24"/>
        </w:rPr>
        <w:t xml:space="preserve">Šie noteikumi, turpmāk – Noteikumi, nosaka SIA”OPTIMERA LATVIA”, reģ.nr. 40003140449, turpmāk OPTIMERA, izsniegto Būvniecības ABC dāvanu karšu, turpmāk – Dāvanu karte, iegādes un lietošanas kārtību. </w:t>
      </w:r>
    </w:p>
    <w:p w14:paraId="4AE4CD75" w14:textId="790E437F" w:rsidR="00092E77" w:rsidRPr="00092E77" w:rsidRDefault="00092E77" w:rsidP="00092E77">
      <w:pPr>
        <w:pStyle w:val="ListParagraph"/>
        <w:numPr>
          <w:ilvl w:val="0"/>
          <w:numId w:val="5"/>
        </w:numPr>
        <w:rPr>
          <w:sz w:val="24"/>
          <w:szCs w:val="24"/>
        </w:rPr>
      </w:pPr>
      <w:r w:rsidRPr="00092E77">
        <w:rPr>
          <w:sz w:val="24"/>
          <w:szCs w:val="24"/>
        </w:rPr>
        <w:t xml:space="preserve">Dāvanu karte ir bezskaidras naudas maksājuma līdzeklis, ar kuru iespējams norēķināties par preci vai pakalpojumiem Būvniecības ABC tirdzniecības vietās. </w:t>
      </w:r>
    </w:p>
    <w:p w14:paraId="46AADB1E" w14:textId="0253FD93" w:rsidR="00092E77" w:rsidRPr="00092E77" w:rsidRDefault="00092E77" w:rsidP="00092E77">
      <w:pPr>
        <w:pStyle w:val="ListParagraph"/>
        <w:numPr>
          <w:ilvl w:val="0"/>
          <w:numId w:val="5"/>
        </w:numPr>
        <w:rPr>
          <w:sz w:val="24"/>
          <w:szCs w:val="24"/>
        </w:rPr>
      </w:pPr>
      <w:r w:rsidRPr="00092E77">
        <w:rPr>
          <w:sz w:val="24"/>
          <w:szCs w:val="24"/>
        </w:rPr>
        <w:t xml:space="preserve">Dāvanu karti iespējams iegādāties gan digitālā, gan plastikāta kartes veidā visos Būvniecības ABC veikalos, kā arī elektroniski Būvniecības ABC internetveikalā – </w:t>
      </w:r>
      <w:hyperlink r:id="rId7" w:history="1">
        <w:r w:rsidRPr="00092E77">
          <w:rPr>
            <w:rStyle w:val="Hyperlink"/>
            <w:sz w:val="24"/>
            <w:szCs w:val="24"/>
          </w:rPr>
          <w:t>www.buvniecibas-abc.lv</w:t>
        </w:r>
      </w:hyperlink>
      <w:r w:rsidRPr="00092E77">
        <w:rPr>
          <w:sz w:val="24"/>
          <w:szCs w:val="24"/>
        </w:rPr>
        <w:t xml:space="preserve"> </w:t>
      </w:r>
    </w:p>
    <w:p w14:paraId="23A4F108" w14:textId="556E939F" w:rsidR="00092E77" w:rsidRPr="00092E77" w:rsidRDefault="00092E77" w:rsidP="00092E77">
      <w:pPr>
        <w:pStyle w:val="ListParagraph"/>
        <w:numPr>
          <w:ilvl w:val="0"/>
          <w:numId w:val="5"/>
        </w:numPr>
        <w:rPr>
          <w:sz w:val="24"/>
          <w:szCs w:val="24"/>
        </w:rPr>
      </w:pPr>
      <w:r w:rsidRPr="00092E77">
        <w:rPr>
          <w:sz w:val="24"/>
          <w:szCs w:val="24"/>
        </w:rPr>
        <w:t xml:space="preserve">Dāvanu kartei tiek piešķirts unikāls numurs un kods, tai ir vērtība un derīguma termiņš. </w:t>
      </w:r>
    </w:p>
    <w:p w14:paraId="09BF7F4D" w14:textId="7EFD306D" w:rsidR="00092E77" w:rsidRPr="00092E77" w:rsidRDefault="00092E77" w:rsidP="00092E77">
      <w:pPr>
        <w:pStyle w:val="ListParagraph"/>
        <w:numPr>
          <w:ilvl w:val="0"/>
          <w:numId w:val="5"/>
        </w:numPr>
        <w:rPr>
          <w:sz w:val="24"/>
          <w:szCs w:val="24"/>
        </w:rPr>
      </w:pPr>
      <w:r w:rsidRPr="00092E77">
        <w:rPr>
          <w:sz w:val="24"/>
          <w:szCs w:val="24"/>
        </w:rPr>
        <w:t xml:space="preserve">Dāvanu karte ir anonīma un uz tās netiek norādīts pircēja vārds un uzvārds vai nosaukums. </w:t>
      </w:r>
    </w:p>
    <w:p w14:paraId="128353B7" w14:textId="21F4BCAF" w:rsidR="00092E77" w:rsidRPr="00092E77" w:rsidRDefault="00092E77" w:rsidP="00092E77">
      <w:pPr>
        <w:pStyle w:val="ListParagraph"/>
        <w:numPr>
          <w:ilvl w:val="0"/>
          <w:numId w:val="5"/>
        </w:numPr>
        <w:rPr>
          <w:sz w:val="24"/>
          <w:szCs w:val="24"/>
        </w:rPr>
      </w:pPr>
      <w:r w:rsidRPr="00092E77">
        <w:rPr>
          <w:sz w:val="24"/>
          <w:szCs w:val="24"/>
        </w:rPr>
        <w:t xml:space="preserve">Dāvanu kartes vērtību izvēlas pircējs tās iegādes brīdī. Vērtības apmērs tiek norādīts uz Dāvanu kartes. Dāvanu kartes vērtība nav maināma pēc samaksas veikšanas. Būvniecības ABC internetveikalā piedāvātās Dāvanu kartes vērtība ir konstanta 5 EUR, 10 EUR, 20 EUR, 30 EUR, 40 EUR, 50 EUR vai 100 EUR apmērā. </w:t>
      </w:r>
    </w:p>
    <w:p w14:paraId="532F436F" w14:textId="4FEF006D" w:rsidR="00092E77" w:rsidRPr="00092E77" w:rsidRDefault="00092E77" w:rsidP="00092E77">
      <w:pPr>
        <w:pStyle w:val="ListParagraph"/>
        <w:numPr>
          <w:ilvl w:val="0"/>
          <w:numId w:val="5"/>
        </w:numPr>
        <w:rPr>
          <w:sz w:val="24"/>
          <w:szCs w:val="24"/>
        </w:rPr>
      </w:pPr>
      <w:r w:rsidRPr="00092E77">
        <w:rPr>
          <w:sz w:val="24"/>
          <w:szCs w:val="24"/>
        </w:rPr>
        <w:t xml:space="preserve">Dāvanu kartes iegādes brīdī pircējam ir jāveic Dāvanu kartes vērtības apmaksa pilnā apmērā. </w:t>
      </w:r>
    </w:p>
    <w:p w14:paraId="573ADCC1" w14:textId="681FB227" w:rsidR="00092E77" w:rsidRPr="00092E77" w:rsidRDefault="00092E77" w:rsidP="00092E77">
      <w:pPr>
        <w:pStyle w:val="ListParagraph"/>
        <w:numPr>
          <w:ilvl w:val="0"/>
          <w:numId w:val="5"/>
        </w:numPr>
        <w:rPr>
          <w:sz w:val="24"/>
          <w:szCs w:val="24"/>
        </w:rPr>
      </w:pPr>
      <w:r w:rsidRPr="00092E77">
        <w:rPr>
          <w:sz w:val="24"/>
          <w:szCs w:val="24"/>
        </w:rPr>
        <w:t xml:space="preserve">Dāvanu karti var izmantot tikai viena pirkuma ietvaros. </w:t>
      </w:r>
    </w:p>
    <w:p w14:paraId="0833B361" w14:textId="072FD0BE" w:rsidR="00092E77" w:rsidRPr="00092E77" w:rsidRDefault="00092E77" w:rsidP="00092E77">
      <w:pPr>
        <w:pStyle w:val="ListParagraph"/>
        <w:numPr>
          <w:ilvl w:val="0"/>
          <w:numId w:val="5"/>
        </w:numPr>
        <w:rPr>
          <w:sz w:val="24"/>
          <w:szCs w:val="24"/>
        </w:rPr>
      </w:pPr>
      <w:r w:rsidRPr="00092E77">
        <w:rPr>
          <w:sz w:val="24"/>
          <w:szCs w:val="24"/>
        </w:rPr>
        <w:t xml:space="preserve">Ja preces vai pakalpojuma cena pārsniedz Dāvanu kartes vērtību, Dāvanu karti pircējs var lietot kopā ar citiem maksāšanas līdzekļiem - skaidru naudu vai maksājumu karti. Iegādājoties precei vai pakalpojumu mājas lapā, pārsniegtā summa ir jāapmaksā priekšapmaksā ar papildus izrakstītu rēķinu. </w:t>
      </w:r>
    </w:p>
    <w:p w14:paraId="42754CDB" w14:textId="16136C1D" w:rsidR="00092E77" w:rsidRPr="00092E77" w:rsidRDefault="00092E77" w:rsidP="00092E77">
      <w:pPr>
        <w:pStyle w:val="ListParagraph"/>
        <w:numPr>
          <w:ilvl w:val="0"/>
          <w:numId w:val="5"/>
        </w:numPr>
        <w:rPr>
          <w:sz w:val="24"/>
          <w:szCs w:val="24"/>
        </w:rPr>
      </w:pPr>
      <w:r w:rsidRPr="00092E77">
        <w:rPr>
          <w:sz w:val="24"/>
          <w:szCs w:val="24"/>
        </w:rPr>
        <w:t xml:space="preserve">Ja preces vai pakalpojuma vērtība ir zemāka par Dāvanu kartes vērtību, starpība skaidrā naudā vai ar pārskatījumu netiek izmaksāta. </w:t>
      </w:r>
    </w:p>
    <w:p w14:paraId="29124560" w14:textId="564BDAE8" w:rsidR="00092E77" w:rsidRPr="00092E77" w:rsidRDefault="00092E77" w:rsidP="00092E77">
      <w:pPr>
        <w:pStyle w:val="ListParagraph"/>
        <w:numPr>
          <w:ilvl w:val="0"/>
          <w:numId w:val="5"/>
        </w:numPr>
        <w:rPr>
          <w:sz w:val="24"/>
          <w:szCs w:val="24"/>
        </w:rPr>
      </w:pPr>
      <w:r w:rsidRPr="00092E77">
        <w:rPr>
          <w:sz w:val="24"/>
          <w:szCs w:val="24"/>
        </w:rPr>
        <w:t xml:space="preserve">Dāvanu karti nav iespējams apmainīt pret naudu. </w:t>
      </w:r>
    </w:p>
    <w:p w14:paraId="3CFC4938" w14:textId="4128C172" w:rsidR="00092E77" w:rsidRPr="00092E77" w:rsidRDefault="00092E77" w:rsidP="00092E77">
      <w:pPr>
        <w:pStyle w:val="ListParagraph"/>
        <w:numPr>
          <w:ilvl w:val="0"/>
          <w:numId w:val="5"/>
        </w:numPr>
        <w:rPr>
          <w:sz w:val="24"/>
          <w:szCs w:val="24"/>
        </w:rPr>
      </w:pPr>
      <w:r w:rsidRPr="00092E77">
        <w:rPr>
          <w:sz w:val="24"/>
          <w:szCs w:val="24"/>
        </w:rPr>
        <w:t xml:space="preserve">Nozaudēšanas gadījumā Dāvanu karte netiek atjaunota. </w:t>
      </w:r>
    </w:p>
    <w:p w14:paraId="3591BEEA" w14:textId="227B1FC4" w:rsidR="00092E77" w:rsidRPr="00092E77" w:rsidRDefault="00092E77" w:rsidP="00092E77">
      <w:pPr>
        <w:pStyle w:val="ListParagraph"/>
        <w:numPr>
          <w:ilvl w:val="0"/>
          <w:numId w:val="5"/>
        </w:numPr>
        <w:rPr>
          <w:sz w:val="24"/>
          <w:szCs w:val="24"/>
        </w:rPr>
      </w:pPr>
      <w:r w:rsidRPr="00092E77">
        <w:rPr>
          <w:sz w:val="24"/>
          <w:szCs w:val="24"/>
        </w:rPr>
        <w:t xml:space="preserve">Dāvanu karte derīga 6 mēnešus no tās iegādes dienas. Pēc Dāvanu kartes derīguma termiņa beigām Dāvanu karte vairs nav spēkā un neiztērētais Dāvanu kartes atlikums netiek atmaksāts. Ja Dāvanu karte līdz attiecīgās Dāvanu kartes derīguma termiņa pēdējai dienai nav izlietota, tad Dāvanu karte nākamajā dienā pēc derīguma termiņa beigām tiek anulēta un nav vairs tiesību prasīt derīguma termiņa pagarināšanu un/vai Dāvanu kartes nominālvērtības izmaksāšanu naudā. </w:t>
      </w:r>
    </w:p>
    <w:p w14:paraId="3355DB1E" w14:textId="0F42AAFE" w:rsidR="00092E77" w:rsidRPr="00092E77" w:rsidRDefault="00092E77" w:rsidP="00092E77">
      <w:pPr>
        <w:pStyle w:val="ListParagraph"/>
        <w:numPr>
          <w:ilvl w:val="0"/>
          <w:numId w:val="5"/>
        </w:numPr>
        <w:rPr>
          <w:sz w:val="24"/>
          <w:szCs w:val="24"/>
        </w:rPr>
      </w:pPr>
      <w:r w:rsidRPr="00092E77">
        <w:rPr>
          <w:sz w:val="24"/>
          <w:szCs w:val="24"/>
        </w:rPr>
        <w:t xml:space="preserve">Ar Dāvanu karti nav iespējams iegādāties jaunu Būvniecības ABC dāvanu karti. </w:t>
      </w:r>
    </w:p>
    <w:p w14:paraId="7FC3EC01" w14:textId="3933B058" w:rsidR="00092E77" w:rsidRPr="00092E77" w:rsidRDefault="00092E77" w:rsidP="00092E77">
      <w:pPr>
        <w:pStyle w:val="ListParagraph"/>
        <w:numPr>
          <w:ilvl w:val="0"/>
          <w:numId w:val="5"/>
        </w:numPr>
        <w:rPr>
          <w:sz w:val="24"/>
          <w:szCs w:val="24"/>
        </w:rPr>
      </w:pPr>
      <w:r w:rsidRPr="00092E77">
        <w:rPr>
          <w:sz w:val="24"/>
          <w:szCs w:val="24"/>
        </w:rPr>
        <w:t xml:space="preserve">Ar Dāvanu karti nav iespējams norēķināties Būvniecības ABC veikalu pašapkalpošanās kasēs. </w:t>
      </w:r>
    </w:p>
    <w:p w14:paraId="1A41E7F7" w14:textId="21EF91A4" w:rsidR="00092E77" w:rsidRPr="00092E77" w:rsidRDefault="00092E77" w:rsidP="00092E77">
      <w:pPr>
        <w:pStyle w:val="ListParagraph"/>
        <w:numPr>
          <w:ilvl w:val="0"/>
          <w:numId w:val="5"/>
        </w:numPr>
        <w:rPr>
          <w:sz w:val="24"/>
          <w:szCs w:val="24"/>
        </w:rPr>
      </w:pPr>
      <w:r w:rsidRPr="00092E77">
        <w:rPr>
          <w:sz w:val="24"/>
          <w:szCs w:val="24"/>
        </w:rPr>
        <w:lastRenderedPageBreak/>
        <w:t xml:space="preserve">Dāvanu kartes nozaudēšanas gadījumā tā netiek atjaunota un OPTIMERA šādā gadījumā neatbild par iespējamiem personu zaudējumiem un tos neatlīdzina. </w:t>
      </w:r>
    </w:p>
    <w:p w14:paraId="6D6C9D1C" w14:textId="49149292" w:rsidR="00092E77" w:rsidRPr="00092E77" w:rsidRDefault="00092E77" w:rsidP="00092E77">
      <w:pPr>
        <w:pStyle w:val="ListParagraph"/>
        <w:numPr>
          <w:ilvl w:val="0"/>
          <w:numId w:val="5"/>
        </w:numPr>
        <w:rPr>
          <w:sz w:val="24"/>
          <w:szCs w:val="24"/>
        </w:rPr>
      </w:pPr>
      <w:r w:rsidRPr="00092E77">
        <w:rPr>
          <w:sz w:val="24"/>
          <w:szCs w:val="24"/>
        </w:rPr>
        <w:t xml:space="preserve">Dāvanu karte un uz Dāvanas kartes esošie dati ir jāglabā tā, lai tie nebūtu pieejami citām personām. Pircējs pats nes atbildību, ja Dāvanu karte un/vai Dāvanu kartes dati nonāk tādu personu rīcībā, kurām nav tiesības izmantot Dāvanu karti. OPTIMERA nenes atbildību, ja Dāvanu kartes dati un/vai pati Dāvanu karte nonāk citu personu rīcībā. </w:t>
      </w:r>
    </w:p>
    <w:p w14:paraId="7AD425B7" w14:textId="77777777" w:rsidR="00092E77" w:rsidRPr="00092E77" w:rsidRDefault="00092E77" w:rsidP="00092E77">
      <w:pPr>
        <w:pStyle w:val="ListParagraph"/>
        <w:numPr>
          <w:ilvl w:val="0"/>
          <w:numId w:val="5"/>
        </w:numPr>
        <w:jc w:val="both"/>
        <w:rPr>
          <w:sz w:val="24"/>
          <w:szCs w:val="24"/>
        </w:rPr>
      </w:pPr>
      <w:r w:rsidRPr="00092E77">
        <w:rPr>
          <w:sz w:val="24"/>
          <w:szCs w:val="24"/>
        </w:rPr>
        <w:t xml:space="preserve">18.Preces pirkuma brīdī ar Dāvanu karti var tikt prasīti uzrādīt fiziskās personas personu apliecinošie dokumenti. </w:t>
      </w:r>
    </w:p>
    <w:p w14:paraId="37B7E913" w14:textId="40749741" w:rsidR="00092E77" w:rsidRPr="00092E77" w:rsidRDefault="00092E77" w:rsidP="00092E77">
      <w:pPr>
        <w:pStyle w:val="ListParagraph"/>
        <w:numPr>
          <w:ilvl w:val="0"/>
          <w:numId w:val="5"/>
        </w:numPr>
        <w:rPr>
          <w:sz w:val="24"/>
          <w:szCs w:val="24"/>
        </w:rPr>
      </w:pPr>
      <w:r w:rsidRPr="00092E77">
        <w:rPr>
          <w:sz w:val="24"/>
          <w:szCs w:val="24"/>
        </w:rPr>
        <w:t xml:space="preserve">Dāvanu kartes pircējam ir tiesības iesniegt pretenziju saistībā ar Dāvanu karti, darījumiem ar Dāvanu karti un citiem jautājumiem ne vēlāk kā 3 mēnešus pēc Dāvanu kartes derīguma termiņa beigām, iesniedzot rakstisku iesniegumu ar notikušā aprakstu OPTIMERA, pretējā gadījumā tiek uzskatīts, ka Dāvanu kartes lietotājam nav pretenziju un prasījumu, un šādas pretenzijas netiks izskatītas. </w:t>
      </w:r>
    </w:p>
    <w:p w14:paraId="257540AA" w14:textId="5D6103BE" w:rsidR="00092E77" w:rsidRPr="00092E77" w:rsidRDefault="00092E77" w:rsidP="00092E77">
      <w:pPr>
        <w:pStyle w:val="ListParagraph"/>
        <w:numPr>
          <w:ilvl w:val="0"/>
          <w:numId w:val="5"/>
        </w:numPr>
        <w:rPr>
          <w:sz w:val="24"/>
          <w:szCs w:val="24"/>
        </w:rPr>
      </w:pPr>
      <w:r w:rsidRPr="00092E77">
        <w:rPr>
          <w:sz w:val="24"/>
          <w:szCs w:val="24"/>
        </w:rPr>
        <w:t xml:space="preserve">OPTIMERA nepieņem Dāvanu karti darījuma apmaksai, ja Dāvanu kartei beidzies lietošanas termiņš, tā ir bojāta, viltota vai prettiesiski iegūta. </w:t>
      </w:r>
    </w:p>
    <w:p w14:paraId="1E3E8D88" w14:textId="25EA62A9" w:rsidR="00092E77" w:rsidRPr="00092E77" w:rsidRDefault="00092E77" w:rsidP="00092E77">
      <w:pPr>
        <w:pStyle w:val="ListParagraph"/>
        <w:numPr>
          <w:ilvl w:val="0"/>
          <w:numId w:val="5"/>
        </w:numPr>
        <w:rPr>
          <w:sz w:val="24"/>
          <w:szCs w:val="24"/>
        </w:rPr>
      </w:pPr>
      <w:r w:rsidRPr="00092E77">
        <w:rPr>
          <w:sz w:val="24"/>
          <w:szCs w:val="24"/>
        </w:rPr>
        <w:t xml:space="preserve">Veicot pirkumu ar plastikāta dāvanu karti OPTIMERA tirdzniecības vietā, pirkuma brīdī dāvanu karte jāuzrāda kasē un jāatgriež OPTIMERA. Veicot pirkumu ar plastikāta dāvanu karti  Būvniecības ABC internetveikalā – </w:t>
      </w:r>
      <w:hyperlink r:id="rId8" w:history="1">
        <w:r w:rsidRPr="00092E77">
          <w:rPr>
            <w:rStyle w:val="Hyperlink"/>
            <w:sz w:val="24"/>
            <w:szCs w:val="24"/>
          </w:rPr>
          <w:t>www.buvniecibas-abc.lv</w:t>
        </w:r>
      </w:hyperlink>
      <w:r w:rsidRPr="00092E77">
        <w:rPr>
          <w:sz w:val="24"/>
          <w:szCs w:val="24"/>
        </w:rPr>
        <w:t>, preci var saņemt tikai OPTIMERA tirdzniecības vietā un plastikāta dāvanu karti jāuzrāda un jāatgriež OPTIMERA, bet ja dāvanu karti nevar uzrādīt, prece netiek izsniegta.</w:t>
      </w:r>
    </w:p>
    <w:p w14:paraId="60C850BA" w14:textId="3FC53E1F" w:rsidR="00092E77" w:rsidRPr="00092E77" w:rsidRDefault="00092E77" w:rsidP="00092E77">
      <w:pPr>
        <w:pStyle w:val="ListParagraph"/>
        <w:numPr>
          <w:ilvl w:val="0"/>
          <w:numId w:val="5"/>
        </w:numPr>
        <w:rPr>
          <w:rFonts w:ascii="Roboto" w:hAnsi="Roboto"/>
          <w:color w:val="333333"/>
          <w:sz w:val="24"/>
          <w:szCs w:val="24"/>
          <w:shd w:val="clear" w:color="auto" w:fill="FFFFFF"/>
        </w:rPr>
      </w:pPr>
      <w:r w:rsidRPr="00092E77">
        <w:rPr>
          <w:sz w:val="24"/>
          <w:szCs w:val="24"/>
        </w:rPr>
        <w:t>OPTIMERA patur tiesības veikt izmaiņas šajos Noteikumos pēc saviem ieskatiem, izvietojot jaunus vai labojot Noteikumus vietnē www.buvniecibasabc.lv</w:t>
      </w:r>
    </w:p>
    <w:p w14:paraId="1C335DCC" w14:textId="77777777" w:rsidR="000F778F" w:rsidRPr="00C918F8" w:rsidRDefault="000F778F" w:rsidP="00285D25">
      <w:pPr>
        <w:pStyle w:val="font8"/>
        <w:spacing w:before="0" w:beforeAutospacing="0" w:after="0" w:afterAutospacing="0"/>
        <w:ind w:left="720"/>
        <w:jc w:val="both"/>
        <w:textAlignment w:val="baseline"/>
      </w:pPr>
    </w:p>
    <w:bookmarkEnd w:id="0"/>
    <w:p w14:paraId="36E106A5" w14:textId="77777777" w:rsidR="00092E77" w:rsidRPr="00C918F8" w:rsidRDefault="00092E77" w:rsidP="00C918F8">
      <w:pPr>
        <w:pStyle w:val="font8"/>
        <w:spacing w:before="0" w:beforeAutospacing="0" w:after="0" w:afterAutospacing="0"/>
        <w:ind w:left="720"/>
        <w:jc w:val="both"/>
        <w:textAlignment w:val="baseline"/>
      </w:pPr>
    </w:p>
    <w:sectPr w:rsidR="004040F1" w:rsidRPr="00C918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12B0" w14:textId="77777777" w:rsidR="00750038" w:rsidRDefault="00750038" w:rsidP="00885C75">
      <w:pPr>
        <w:spacing w:after="0" w:line="240" w:lineRule="auto"/>
      </w:pPr>
      <w:r>
        <w:separator/>
      </w:r>
    </w:p>
  </w:endnote>
  <w:endnote w:type="continuationSeparator" w:id="0">
    <w:p w14:paraId="270777CE" w14:textId="77777777" w:rsidR="00750038" w:rsidRDefault="00750038" w:rsidP="0088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9E2B" w14:textId="77777777" w:rsidR="00750038" w:rsidRDefault="00750038" w:rsidP="00885C75">
      <w:pPr>
        <w:spacing w:after="0" w:line="240" w:lineRule="auto"/>
      </w:pPr>
      <w:r>
        <w:separator/>
      </w:r>
    </w:p>
  </w:footnote>
  <w:footnote w:type="continuationSeparator" w:id="0">
    <w:p w14:paraId="2CEC6BE8" w14:textId="77777777" w:rsidR="00750038" w:rsidRDefault="00750038" w:rsidP="0088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DC"/>
    <w:multiLevelType w:val="hybridMultilevel"/>
    <w:tmpl w:val="7A360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83522"/>
    <w:multiLevelType w:val="hybridMultilevel"/>
    <w:tmpl w:val="405EB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F82097"/>
    <w:multiLevelType w:val="multilevel"/>
    <w:tmpl w:val="0768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E0260"/>
    <w:multiLevelType w:val="hybridMultilevel"/>
    <w:tmpl w:val="545CD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9C65FF"/>
    <w:multiLevelType w:val="hybridMultilevel"/>
    <w:tmpl w:val="397A70BA"/>
    <w:lvl w:ilvl="0" w:tplc="FD76355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354318">
    <w:abstractNumId w:val="2"/>
  </w:num>
  <w:num w:numId="2" w16cid:durableId="1065762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19623">
    <w:abstractNumId w:val="1"/>
  </w:num>
  <w:num w:numId="4" w16cid:durableId="1882202977">
    <w:abstractNumId w:val="0"/>
  </w:num>
  <w:num w:numId="5" w16cid:durableId="181260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3F"/>
    <w:rsid w:val="00092E77"/>
    <w:rsid w:val="000F778F"/>
    <w:rsid w:val="0014078E"/>
    <w:rsid w:val="00165401"/>
    <w:rsid w:val="00285D25"/>
    <w:rsid w:val="002C74A0"/>
    <w:rsid w:val="0041572E"/>
    <w:rsid w:val="004D472E"/>
    <w:rsid w:val="005951AC"/>
    <w:rsid w:val="00723D0D"/>
    <w:rsid w:val="00750038"/>
    <w:rsid w:val="007C7F3F"/>
    <w:rsid w:val="00875C61"/>
    <w:rsid w:val="00885C75"/>
    <w:rsid w:val="00AC751B"/>
    <w:rsid w:val="00C866CC"/>
    <w:rsid w:val="00C918F8"/>
    <w:rsid w:val="00D87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289F"/>
  <w15:chartTrackingRefBased/>
  <w15:docId w15:val="{753E76E0-BD4B-4112-8726-7B99B81E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C7F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ixui-rich-texttext">
    <w:name w:val="wixui-rich-text__text"/>
    <w:basedOn w:val="DefaultParagraphFont"/>
    <w:rsid w:val="007C7F3F"/>
  </w:style>
  <w:style w:type="character" w:customStyle="1" w:styleId="wixguard">
    <w:name w:val="wixguard"/>
    <w:basedOn w:val="DefaultParagraphFont"/>
    <w:rsid w:val="007C7F3F"/>
  </w:style>
  <w:style w:type="character" w:styleId="Hyperlink">
    <w:name w:val="Hyperlink"/>
    <w:basedOn w:val="DefaultParagraphFont"/>
    <w:uiPriority w:val="99"/>
    <w:semiHidden/>
    <w:unhideWhenUsed/>
    <w:rsid w:val="007C7F3F"/>
    <w:rPr>
      <w:color w:val="0000FF"/>
      <w:u w:val="single"/>
    </w:rPr>
  </w:style>
  <w:style w:type="paragraph" w:styleId="ListParagraph">
    <w:name w:val="List Paragraph"/>
    <w:basedOn w:val="Normal"/>
    <w:uiPriority w:val="34"/>
    <w:qFormat/>
    <w:rsid w:val="007C7F3F"/>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8640">
      <w:bodyDiv w:val="1"/>
      <w:marLeft w:val="0"/>
      <w:marRight w:val="0"/>
      <w:marTop w:val="0"/>
      <w:marBottom w:val="0"/>
      <w:divBdr>
        <w:top w:val="none" w:sz="0" w:space="0" w:color="auto"/>
        <w:left w:val="none" w:sz="0" w:space="0" w:color="auto"/>
        <w:bottom w:val="none" w:sz="0" w:space="0" w:color="auto"/>
        <w:right w:val="none" w:sz="0" w:space="0" w:color="auto"/>
      </w:divBdr>
    </w:div>
    <w:div w:id="426392150">
      <w:bodyDiv w:val="1"/>
      <w:marLeft w:val="0"/>
      <w:marRight w:val="0"/>
      <w:marTop w:val="0"/>
      <w:marBottom w:val="0"/>
      <w:divBdr>
        <w:top w:val="none" w:sz="0" w:space="0" w:color="auto"/>
        <w:left w:val="none" w:sz="0" w:space="0" w:color="auto"/>
        <w:bottom w:val="none" w:sz="0" w:space="0" w:color="auto"/>
        <w:right w:val="none" w:sz="0" w:space="0" w:color="auto"/>
      </w:divBdr>
    </w:div>
    <w:div w:id="895044446">
      <w:bodyDiv w:val="1"/>
      <w:marLeft w:val="0"/>
      <w:marRight w:val="0"/>
      <w:marTop w:val="0"/>
      <w:marBottom w:val="0"/>
      <w:divBdr>
        <w:top w:val="none" w:sz="0" w:space="0" w:color="auto"/>
        <w:left w:val="none" w:sz="0" w:space="0" w:color="auto"/>
        <w:bottom w:val="none" w:sz="0" w:space="0" w:color="auto"/>
        <w:right w:val="none" w:sz="0" w:space="0" w:color="auto"/>
      </w:divBdr>
    </w:div>
    <w:div w:id="1488013113">
      <w:bodyDiv w:val="1"/>
      <w:marLeft w:val="0"/>
      <w:marRight w:val="0"/>
      <w:marTop w:val="0"/>
      <w:marBottom w:val="0"/>
      <w:divBdr>
        <w:top w:val="none" w:sz="0" w:space="0" w:color="auto"/>
        <w:left w:val="none" w:sz="0" w:space="0" w:color="auto"/>
        <w:bottom w:val="none" w:sz="0" w:space="0" w:color="auto"/>
        <w:right w:val="none" w:sz="0" w:space="0" w:color="auto"/>
      </w:divBdr>
    </w:div>
    <w:div w:id="1500924028">
      <w:bodyDiv w:val="1"/>
      <w:marLeft w:val="0"/>
      <w:marRight w:val="0"/>
      <w:marTop w:val="0"/>
      <w:marBottom w:val="0"/>
      <w:divBdr>
        <w:top w:val="none" w:sz="0" w:space="0" w:color="auto"/>
        <w:left w:val="none" w:sz="0" w:space="0" w:color="auto"/>
        <w:bottom w:val="none" w:sz="0" w:space="0" w:color="auto"/>
        <w:right w:val="none" w:sz="0" w:space="0" w:color="auto"/>
      </w:divBdr>
    </w:div>
    <w:div w:id="1919628358">
      <w:bodyDiv w:val="1"/>
      <w:marLeft w:val="0"/>
      <w:marRight w:val="0"/>
      <w:marTop w:val="0"/>
      <w:marBottom w:val="0"/>
      <w:divBdr>
        <w:top w:val="none" w:sz="0" w:space="0" w:color="auto"/>
        <w:left w:val="none" w:sz="0" w:space="0" w:color="auto"/>
        <w:bottom w:val="none" w:sz="0" w:space="0" w:color="auto"/>
        <w:right w:val="none" w:sz="0" w:space="0" w:color="auto"/>
      </w:divBdr>
    </w:div>
    <w:div w:id="21176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vniecibas-abc.lv" TargetMode="External"/><Relationship Id="rId3" Type="http://schemas.openxmlformats.org/officeDocument/2006/relationships/settings" Target="settings.xml"/><Relationship Id="rId7" Type="http://schemas.openxmlformats.org/officeDocument/2006/relationships/hyperlink" Target="http://www.buvniecibas-ab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2700</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Feldmanis, Artis - SIA Optimera Latvia</dc:creator>
  <cp:keywords/>
  <dc:description/>
  <cp:lastModifiedBy>Palejs, Matiss - SIA Optimera Latvia</cp:lastModifiedBy>
  <cp:revision>3</cp:revision>
  <cp:lastPrinted>2023-04-19T07:06:00Z</cp:lastPrinted>
  <dcterms:created xsi:type="dcterms:W3CDTF">2023-04-20T12:12:00Z</dcterms:created>
  <dcterms:modified xsi:type="dcterms:W3CDTF">2025-01-31T10:53:00Z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2023-04-19T05:42:44Z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cb1b5027-87cb-40a4-975e-1697cb63369a</vt:lpwstr>
  </property>
  <property fmtid="{D5CDD505-2E9C-101B-9397-08002B2CF9AE}" pid="8" name="MSIP_Label_ced06422-c515-4a4e-a1f2-e6a0c0200eae_ContentBits">
    <vt:lpwstr>0</vt:lpwstr>
  </property>
</Properties>
</file>